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rPr>
          <w:rFonts w:hint="eastAsia" w:ascii="宋体" w:hAnsi="宋体" w:eastAsia="宋体" w:cs="宋体"/>
          <w:color w:val="333333"/>
          <w:sz w:val="18"/>
          <w:szCs w:val="18"/>
        </w:rPr>
        <w:t>发改运行〔2017〕1455号</w:t>
      </w:r>
    </w:p>
    <w:p>
      <w:pPr>
        <w:pStyle w:val="2"/>
        <w:keepNext w:val="0"/>
        <w:keepLines w:val="0"/>
        <w:widowControl/>
        <w:suppressLineNumbers w:val="0"/>
        <w:jc w:val="both"/>
      </w:pPr>
      <w:r>
        <w:rPr>
          <w:rFonts w:hint="eastAsia" w:ascii="宋体" w:hAnsi="宋体" w:eastAsia="宋体" w:cs="宋体"/>
          <w:color w:val="333333"/>
          <w:sz w:val="18"/>
          <w:szCs w:val="18"/>
        </w:rPr>
        <w:t> </w:t>
      </w:r>
    </w:p>
    <w:p>
      <w:pPr>
        <w:pStyle w:val="2"/>
        <w:keepNext w:val="0"/>
        <w:keepLines w:val="0"/>
        <w:widowControl/>
        <w:suppressLineNumbers w:val="0"/>
        <w:jc w:val="both"/>
      </w:pPr>
      <w:r>
        <w:rPr>
          <w:rFonts w:hint="eastAsia" w:ascii="宋体" w:hAnsi="宋体" w:eastAsia="宋体" w:cs="宋体"/>
          <w:color w:val="333333"/>
          <w:sz w:val="18"/>
          <w:szCs w:val="18"/>
        </w:rPr>
        <w:t>各省、自治区、直辖市，新疆生产建设兵团有关部门、机构：</w:t>
      </w:r>
    </w:p>
    <w:p>
      <w:pPr>
        <w:pStyle w:val="2"/>
        <w:keepNext w:val="0"/>
        <w:keepLines w:val="0"/>
        <w:widowControl/>
        <w:suppressLineNumbers w:val="0"/>
        <w:jc w:val="both"/>
      </w:pPr>
      <w:r>
        <w:rPr>
          <w:rFonts w:hint="eastAsia" w:ascii="宋体" w:hAnsi="宋体" w:eastAsia="宋体" w:cs="宋体"/>
          <w:color w:val="333333"/>
          <w:sz w:val="18"/>
          <w:szCs w:val="18"/>
        </w:rPr>
        <w:t>　　为深入贯彻党的十八大和十八届三中、四中、五中、六中全会精神，落实《国务院关于印发社会信用体系建设规划纲要（2014—2020年）的通知》（国发〔2014〕21号）、《国务院关于建立完善守信联合激励和失信联合惩戒制度加快推进社会诚信建设的指导意见》（国发〔2016〕33号）、《中共中央 国务院关于深化石油天然气体制改革的若干意见》（中发〔2017〕15号）等文件要求，加快推进石油天然气行业信用体系建设，健全跨部门失信联合惩戒机制，国家发展改革委、人民银行、中央网信办、中央文明办、公安部、财政部、国土资源部、环境保护部、住房城乡建设部、交通运输部、商务部、海关总署、税务总局、工商总局、质检总局、安全监管总局、银监会、证监会、能源局、海洋局等部门联合签署了《关于对石油天然气行业严重违法失信主体实施联合惩戒的合作备忘录》。现印发你们，请认真贯彻执行。</w:t>
      </w:r>
    </w:p>
    <w:p>
      <w:pPr>
        <w:pStyle w:val="2"/>
        <w:keepNext w:val="0"/>
        <w:keepLines w:val="0"/>
        <w:widowControl/>
        <w:suppressLineNumbers w:val="0"/>
        <w:jc w:val="both"/>
      </w:pPr>
      <w:r>
        <w:rPr>
          <w:rFonts w:hint="eastAsia" w:ascii="宋体" w:hAnsi="宋体" w:eastAsia="宋体" w:cs="宋体"/>
          <w:color w:val="333333"/>
          <w:sz w:val="18"/>
          <w:szCs w:val="18"/>
        </w:rPr>
        <w:t>　　附件：</w:t>
      </w:r>
      <w:r>
        <w:rPr>
          <w:rFonts w:hint="eastAsia" w:ascii="宋体" w:hAnsi="宋体" w:eastAsia="宋体" w:cs="宋体"/>
          <w:color w:val="333333"/>
          <w:sz w:val="18"/>
          <w:szCs w:val="18"/>
          <w:u w:val="none"/>
        </w:rPr>
        <w:fldChar w:fldCharType="begin"/>
      </w:r>
      <w:r>
        <w:rPr>
          <w:rFonts w:hint="eastAsia" w:ascii="宋体" w:hAnsi="宋体" w:eastAsia="宋体" w:cs="宋体"/>
          <w:color w:val="333333"/>
          <w:sz w:val="18"/>
          <w:szCs w:val="18"/>
          <w:u w:val="none"/>
        </w:rPr>
        <w:instrText xml:space="preserve"> HYPERLINK "http://www.ndrc.gov.cn/gzdt/201708/W020170828564907154205.pdf" \t "http://www.ctba.org.cn/_blank" </w:instrText>
      </w:r>
      <w:r>
        <w:rPr>
          <w:rFonts w:hint="eastAsia" w:ascii="宋体" w:hAnsi="宋体" w:eastAsia="宋体" w:cs="宋体"/>
          <w:color w:val="333333"/>
          <w:sz w:val="18"/>
          <w:szCs w:val="18"/>
          <w:u w:val="none"/>
        </w:rPr>
        <w:fldChar w:fldCharType="separate"/>
      </w:r>
      <w:r>
        <w:rPr>
          <w:rStyle w:val="4"/>
          <w:rFonts w:hint="eastAsia" w:ascii="宋体" w:hAnsi="宋体" w:eastAsia="宋体" w:cs="宋体"/>
          <w:color w:val="0000FF"/>
          <w:sz w:val="18"/>
          <w:szCs w:val="18"/>
          <w:u w:val="none"/>
          <w:bdr w:val="none" w:color="auto" w:sz="0" w:space="0"/>
        </w:rPr>
        <w:t>关于对石油天然气行业严重违法失信主体实施联合惩戒的合作备忘录</w:t>
      </w:r>
      <w:r>
        <w:rPr>
          <w:rFonts w:hint="eastAsia" w:ascii="宋体" w:hAnsi="宋体" w:eastAsia="宋体" w:cs="宋体"/>
          <w:color w:val="333333"/>
          <w:sz w:val="18"/>
          <w:szCs w:val="18"/>
          <w:u w:val="none"/>
        </w:rPr>
        <w:fldChar w:fldCharType="end"/>
      </w:r>
    </w:p>
    <w:p>
      <w:pPr>
        <w:pStyle w:val="2"/>
        <w:keepNext w:val="0"/>
        <w:keepLines w:val="0"/>
        <w:widowControl/>
        <w:suppressLineNumbers w:val="0"/>
        <w:jc w:val="both"/>
      </w:pPr>
      <w:r>
        <w:rPr>
          <w:rFonts w:hint="eastAsia" w:ascii="宋体" w:hAnsi="宋体" w:eastAsia="宋体" w:cs="宋体"/>
          <w:color w:val="333333"/>
          <w:sz w:val="18"/>
          <w:szCs w:val="18"/>
        </w:rPr>
        <w:t> </w:t>
      </w:r>
    </w:p>
    <w:p>
      <w:pPr>
        <w:pStyle w:val="2"/>
        <w:keepNext w:val="0"/>
        <w:keepLines w:val="0"/>
        <w:widowControl/>
        <w:suppressLineNumbers w:val="0"/>
        <w:jc w:val="center"/>
      </w:pPr>
      <w:r>
        <w:rPr>
          <w:rFonts w:hint="eastAsia" w:ascii="宋体" w:hAnsi="宋体" w:eastAsia="宋体" w:cs="宋体"/>
          <w:color w:val="333333"/>
          <w:sz w:val="18"/>
          <w:szCs w:val="18"/>
        </w:rPr>
        <w:t>国家发展改革委</w:t>
      </w:r>
    </w:p>
    <w:p>
      <w:pPr>
        <w:pStyle w:val="2"/>
        <w:keepNext w:val="0"/>
        <w:keepLines w:val="0"/>
        <w:widowControl/>
        <w:suppressLineNumbers w:val="0"/>
        <w:jc w:val="center"/>
      </w:pPr>
      <w:r>
        <w:rPr>
          <w:rFonts w:hint="eastAsia" w:ascii="宋体" w:hAnsi="宋体" w:eastAsia="宋体" w:cs="宋体"/>
          <w:color w:val="333333"/>
          <w:sz w:val="18"/>
          <w:szCs w:val="18"/>
        </w:rPr>
        <w:t>人　民　银　行</w:t>
      </w:r>
    </w:p>
    <w:p>
      <w:pPr>
        <w:pStyle w:val="2"/>
        <w:keepNext w:val="0"/>
        <w:keepLines w:val="0"/>
        <w:widowControl/>
        <w:suppressLineNumbers w:val="0"/>
        <w:jc w:val="center"/>
      </w:pPr>
      <w:r>
        <w:rPr>
          <w:rFonts w:hint="eastAsia" w:ascii="宋体" w:hAnsi="宋体" w:eastAsia="宋体" w:cs="宋体"/>
          <w:color w:val="333333"/>
          <w:sz w:val="18"/>
          <w:szCs w:val="18"/>
        </w:rPr>
        <w:t>中 央 网 信 办</w:t>
      </w:r>
    </w:p>
    <w:p>
      <w:pPr>
        <w:pStyle w:val="2"/>
        <w:keepNext w:val="0"/>
        <w:keepLines w:val="0"/>
        <w:widowControl/>
        <w:suppressLineNumbers w:val="0"/>
        <w:jc w:val="center"/>
      </w:pPr>
      <w:r>
        <w:rPr>
          <w:rFonts w:hint="eastAsia" w:ascii="宋体" w:hAnsi="宋体" w:eastAsia="宋体" w:cs="宋体"/>
          <w:color w:val="333333"/>
          <w:sz w:val="18"/>
          <w:szCs w:val="18"/>
        </w:rPr>
        <w:t>中 央 文 明 办</w:t>
      </w:r>
    </w:p>
    <w:p>
      <w:pPr>
        <w:pStyle w:val="2"/>
        <w:keepNext w:val="0"/>
        <w:keepLines w:val="0"/>
        <w:widowControl/>
        <w:suppressLineNumbers w:val="0"/>
        <w:jc w:val="center"/>
      </w:pPr>
      <w:r>
        <w:rPr>
          <w:rFonts w:hint="eastAsia" w:ascii="宋体" w:hAnsi="宋体" w:eastAsia="宋体" w:cs="宋体"/>
          <w:color w:val="333333"/>
          <w:sz w:val="18"/>
          <w:szCs w:val="18"/>
        </w:rPr>
        <w:t>公　　安　　部</w:t>
      </w:r>
    </w:p>
    <w:p>
      <w:pPr>
        <w:pStyle w:val="2"/>
        <w:keepNext w:val="0"/>
        <w:keepLines w:val="0"/>
        <w:widowControl/>
        <w:suppressLineNumbers w:val="0"/>
        <w:jc w:val="center"/>
      </w:pPr>
      <w:r>
        <w:rPr>
          <w:rFonts w:hint="eastAsia" w:ascii="宋体" w:hAnsi="宋体" w:eastAsia="宋体" w:cs="宋体"/>
          <w:color w:val="333333"/>
          <w:sz w:val="18"/>
          <w:szCs w:val="18"/>
        </w:rPr>
        <w:t>财　　政　　部</w:t>
      </w:r>
    </w:p>
    <w:p>
      <w:pPr>
        <w:pStyle w:val="2"/>
        <w:keepNext w:val="0"/>
        <w:keepLines w:val="0"/>
        <w:widowControl/>
        <w:suppressLineNumbers w:val="0"/>
        <w:jc w:val="center"/>
      </w:pPr>
      <w:r>
        <w:rPr>
          <w:rFonts w:hint="eastAsia" w:ascii="宋体" w:hAnsi="宋体" w:eastAsia="宋体" w:cs="宋体"/>
          <w:color w:val="333333"/>
          <w:sz w:val="18"/>
          <w:szCs w:val="18"/>
        </w:rPr>
        <w:t>国 土 资 源 部</w:t>
      </w:r>
    </w:p>
    <w:p>
      <w:pPr>
        <w:pStyle w:val="2"/>
        <w:keepNext w:val="0"/>
        <w:keepLines w:val="0"/>
        <w:widowControl/>
        <w:suppressLineNumbers w:val="0"/>
        <w:jc w:val="center"/>
      </w:pPr>
      <w:r>
        <w:rPr>
          <w:rFonts w:hint="eastAsia" w:ascii="宋体" w:hAnsi="宋体" w:eastAsia="宋体" w:cs="宋体"/>
          <w:color w:val="333333"/>
          <w:sz w:val="18"/>
          <w:szCs w:val="18"/>
        </w:rPr>
        <w:t>环 境 保 护 部</w:t>
      </w:r>
    </w:p>
    <w:p>
      <w:pPr>
        <w:pStyle w:val="2"/>
        <w:keepNext w:val="0"/>
        <w:keepLines w:val="0"/>
        <w:widowControl/>
        <w:suppressLineNumbers w:val="0"/>
        <w:jc w:val="center"/>
      </w:pPr>
      <w:r>
        <w:rPr>
          <w:rFonts w:hint="eastAsia" w:ascii="宋体" w:hAnsi="宋体" w:eastAsia="宋体" w:cs="宋体"/>
          <w:color w:val="333333"/>
          <w:sz w:val="18"/>
          <w:szCs w:val="18"/>
        </w:rPr>
        <w:t>住房城乡建设部</w:t>
      </w:r>
    </w:p>
    <w:p>
      <w:pPr>
        <w:pStyle w:val="2"/>
        <w:keepNext w:val="0"/>
        <w:keepLines w:val="0"/>
        <w:widowControl/>
        <w:suppressLineNumbers w:val="0"/>
        <w:jc w:val="center"/>
      </w:pPr>
      <w:r>
        <w:rPr>
          <w:rFonts w:hint="eastAsia" w:ascii="宋体" w:hAnsi="宋体" w:eastAsia="宋体" w:cs="宋体"/>
          <w:color w:val="333333"/>
          <w:sz w:val="18"/>
          <w:szCs w:val="18"/>
        </w:rPr>
        <w:t>交 通 运 输 部</w:t>
      </w:r>
    </w:p>
    <w:p>
      <w:pPr>
        <w:pStyle w:val="2"/>
        <w:keepNext w:val="0"/>
        <w:keepLines w:val="0"/>
        <w:widowControl/>
        <w:suppressLineNumbers w:val="0"/>
        <w:jc w:val="center"/>
      </w:pPr>
      <w:r>
        <w:rPr>
          <w:rFonts w:hint="eastAsia" w:ascii="宋体" w:hAnsi="宋体" w:eastAsia="宋体" w:cs="宋体"/>
          <w:color w:val="333333"/>
          <w:sz w:val="18"/>
          <w:szCs w:val="18"/>
        </w:rPr>
        <w:t>商　　务　　部</w:t>
      </w:r>
    </w:p>
    <w:p>
      <w:pPr>
        <w:pStyle w:val="2"/>
        <w:keepNext w:val="0"/>
        <w:keepLines w:val="0"/>
        <w:widowControl/>
        <w:suppressLineNumbers w:val="0"/>
        <w:jc w:val="center"/>
      </w:pPr>
      <w:r>
        <w:rPr>
          <w:rFonts w:hint="eastAsia" w:ascii="宋体" w:hAnsi="宋体" w:eastAsia="宋体" w:cs="宋体"/>
          <w:color w:val="333333"/>
          <w:sz w:val="18"/>
          <w:szCs w:val="18"/>
        </w:rPr>
        <w:t>海　关　总　署</w:t>
      </w:r>
    </w:p>
    <w:p>
      <w:pPr>
        <w:pStyle w:val="2"/>
        <w:keepNext w:val="0"/>
        <w:keepLines w:val="0"/>
        <w:widowControl/>
        <w:suppressLineNumbers w:val="0"/>
        <w:jc w:val="center"/>
      </w:pPr>
      <w:r>
        <w:rPr>
          <w:rFonts w:hint="eastAsia" w:ascii="宋体" w:hAnsi="宋体" w:eastAsia="宋体" w:cs="宋体"/>
          <w:color w:val="333333"/>
          <w:sz w:val="18"/>
          <w:szCs w:val="18"/>
        </w:rPr>
        <w:t>税　务　总　局</w:t>
      </w:r>
    </w:p>
    <w:p>
      <w:pPr>
        <w:pStyle w:val="2"/>
        <w:keepNext w:val="0"/>
        <w:keepLines w:val="0"/>
        <w:widowControl/>
        <w:suppressLineNumbers w:val="0"/>
        <w:jc w:val="center"/>
      </w:pPr>
      <w:r>
        <w:rPr>
          <w:rFonts w:hint="eastAsia" w:ascii="宋体" w:hAnsi="宋体" w:eastAsia="宋体" w:cs="宋体"/>
          <w:color w:val="333333"/>
          <w:sz w:val="18"/>
          <w:szCs w:val="18"/>
        </w:rPr>
        <w:t>工　商　总　局</w:t>
      </w:r>
    </w:p>
    <w:p>
      <w:pPr>
        <w:pStyle w:val="2"/>
        <w:keepNext w:val="0"/>
        <w:keepLines w:val="0"/>
        <w:widowControl/>
        <w:suppressLineNumbers w:val="0"/>
        <w:jc w:val="center"/>
      </w:pPr>
      <w:r>
        <w:rPr>
          <w:rFonts w:hint="eastAsia" w:ascii="宋体" w:hAnsi="宋体" w:eastAsia="宋体" w:cs="宋体"/>
          <w:color w:val="333333"/>
          <w:sz w:val="18"/>
          <w:szCs w:val="18"/>
        </w:rPr>
        <w:t>质　检　总　局</w:t>
      </w:r>
    </w:p>
    <w:p>
      <w:pPr>
        <w:pStyle w:val="2"/>
        <w:keepNext w:val="0"/>
        <w:keepLines w:val="0"/>
        <w:widowControl/>
        <w:suppressLineNumbers w:val="0"/>
        <w:jc w:val="center"/>
      </w:pPr>
      <w:r>
        <w:rPr>
          <w:rFonts w:hint="eastAsia" w:ascii="宋体" w:hAnsi="宋体" w:eastAsia="宋体" w:cs="宋体"/>
          <w:color w:val="333333"/>
          <w:sz w:val="18"/>
          <w:szCs w:val="18"/>
        </w:rPr>
        <w:t>安全监管总局</w:t>
      </w:r>
    </w:p>
    <w:p>
      <w:pPr>
        <w:pStyle w:val="2"/>
        <w:keepNext w:val="0"/>
        <w:keepLines w:val="0"/>
        <w:widowControl/>
        <w:suppressLineNumbers w:val="0"/>
        <w:jc w:val="center"/>
      </w:pPr>
      <w:r>
        <w:rPr>
          <w:rFonts w:hint="eastAsia" w:ascii="宋体" w:hAnsi="宋体" w:eastAsia="宋体" w:cs="宋体"/>
          <w:color w:val="333333"/>
          <w:sz w:val="18"/>
          <w:szCs w:val="18"/>
        </w:rPr>
        <w:t>银　　监　　会</w:t>
      </w:r>
    </w:p>
    <w:p>
      <w:pPr>
        <w:pStyle w:val="2"/>
        <w:keepNext w:val="0"/>
        <w:keepLines w:val="0"/>
        <w:widowControl/>
        <w:suppressLineNumbers w:val="0"/>
        <w:jc w:val="center"/>
      </w:pPr>
      <w:r>
        <w:rPr>
          <w:rFonts w:hint="eastAsia" w:ascii="宋体" w:hAnsi="宋体" w:eastAsia="宋体" w:cs="宋体"/>
          <w:color w:val="333333"/>
          <w:sz w:val="18"/>
          <w:szCs w:val="18"/>
        </w:rPr>
        <w:t>证　　监　　会</w:t>
      </w:r>
    </w:p>
    <w:p>
      <w:pPr>
        <w:pStyle w:val="2"/>
        <w:keepNext w:val="0"/>
        <w:keepLines w:val="0"/>
        <w:widowControl/>
        <w:suppressLineNumbers w:val="0"/>
        <w:jc w:val="center"/>
      </w:pPr>
      <w:r>
        <w:rPr>
          <w:rFonts w:hint="eastAsia" w:ascii="宋体" w:hAnsi="宋体" w:eastAsia="宋体" w:cs="宋体"/>
          <w:color w:val="333333"/>
          <w:sz w:val="18"/>
          <w:szCs w:val="18"/>
        </w:rPr>
        <w:t>国 家 能 源 局</w:t>
      </w:r>
    </w:p>
    <w:p>
      <w:pPr>
        <w:pStyle w:val="2"/>
        <w:keepNext w:val="0"/>
        <w:keepLines w:val="0"/>
        <w:widowControl/>
        <w:suppressLineNumbers w:val="0"/>
        <w:jc w:val="center"/>
      </w:pPr>
      <w:r>
        <w:rPr>
          <w:rFonts w:hint="eastAsia" w:ascii="宋体" w:hAnsi="宋体" w:eastAsia="宋体" w:cs="宋体"/>
          <w:color w:val="333333"/>
          <w:sz w:val="18"/>
          <w:szCs w:val="18"/>
        </w:rPr>
        <w:t>国 家 海 洋 局</w:t>
      </w:r>
    </w:p>
    <w:p>
      <w:pPr>
        <w:pStyle w:val="2"/>
        <w:keepNext w:val="0"/>
        <w:keepLines w:val="0"/>
        <w:widowControl/>
        <w:suppressLineNumbers w:val="0"/>
        <w:jc w:val="center"/>
      </w:pPr>
      <w:r>
        <w:rPr>
          <w:rFonts w:hint="eastAsia" w:ascii="宋体" w:hAnsi="宋体" w:eastAsia="宋体" w:cs="宋体"/>
          <w:color w:val="333333"/>
          <w:sz w:val="18"/>
          <w:szCs w:val="18"/>
        </w:rPr>
        <w:t>2017年8月2日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403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Hyperlink"/>
    <w:basedOn w:val="3"/>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2017-08-29T02:55:00Z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